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13B20" w14:textId="77777777" w:rsidR="00582BD7" w:rsidRDefault="00582BD7" w:rsidP="00582BD7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>Exma. Senhora</w:t>
      </w:r>
    </w:p>
    <w:p w14:paraId="38D5F37F" w14:textId="77777777" w:rsidR="00582BD7" w:rsidRDefault="00582BD7" w:rsidP="00582BD7">
      <w:pPr>
        <w:ind w:left="43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 xml:space="preserve">Diretora-Geral </w:t>
      </w:r>
      <w:proofErr w:type="gramStart"/>
      <w:r>
        <w:rPr>
          <w:rFonts w:asciiTheme="majorHAnsi" w:hAnsiTheme="majorHAnsi" w:cstheme="majorHAnsi"/>
          <w:b/>
          <w:bCs/>
          <w:lang w:val="pt-PT"/>
        </w:rPr>
        <w:t>da</w:t>
      </w:r>
      <w:proofErr w:type="gramEnd"/>
      <w:r>
        <w:rPr>
          <w:rFonts w:asciiTheme="majorHAnsi" w:hAnsiTheme="majorHAnsi" w:cstheme="majorHAnsi"/>
          <w:b/>
          <w:bCs/>
          <w:lang w:val="pt-PT"/>
        </w:rPr>
        <w:t xml:space="preserve"> </w:t>
      </w:r>
    </w:p>
    <w:p w14:paraId="02EB23CF" w14:textId="77777777" w:rsidR="00582BD7" w:rsidRDefault="00582BD7" w:rsidP="00582BD7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>Autoridade Tributária e Aduaneira</w:t>
      </w:r>
    </w:p>
    <w:p w14:paraId="11C9796B" w14:textId="77777777" w:rsidR="00582BD7" w:rsidRDefault="00582BD7" w:rsidP="00582BD7">
      <w:pPr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  <w:t xml:space="preserve">       </w:t>
      </w:r>
      <w:r>
        <w:rPr>
          <w:rFonts w:asciiTheme="majorHAnsi" w:hAnsiTheme="majorHAnsi" w:cstheme="majorHAnsi"/>
          <w:lang w:val="pt-PT"/>
        </w:rPr>
        <w:tab/>
        <w:t xml:space="preserve">Rua do Comércio, nº 49, 3º andar, </w:t>
      </w:r>
    </w:p>
    <w:p w14:paraId="7943C0B5" w14:textId="77777777" w:rsidR="00582BD7" w:rsidRDefault="00582BD7" w:rsidP="00582BD7">
      <w:pPr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  <w:t xml:space="preserve">      </w:t>
      </w:r>
      <w:r>
        <w:rPr>
          <w:rFonts w:asciiTheme="majorHAnsi" w:hAnsiTheme="majorHAnsi" w:cstheme="majorHAnsi"/>
          <w:lang w:val="pt-PT"/>
        </w:rPr>
        <w:tab/>
        <w:t>1149-017 Lisboa</w:t>
      </w:r>
    </w:p>
    <w:p w14:paraId="3744D17F" w14:textId="77777777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6625C4C9" w14:textId="479146C3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u w:val="single"/>
          <w:lang w:val="pt-PT"/>
        </w:rPr>
        <w:t>Assunto:</w:t>
      </w:r>
      <w:r>
        <w:rPr>
          <w:rFonts w:asciiTheme="majorHAnsi" w:hAnsiTheme="majorHAnsi" w:cstheme="majorHAnsi"/>
          <w:lang w:val="pt-PT"/>
        </w:rPr>
        <w:t xml:space="preserve"> - </w:t>
      </w:r>
      <w:r>
        <w:rPr>
          <w:rFonts w:asciiTheme="majorHAnsi" w:hAnsiTheme="majorHAnsi" w:cstheme="majorHAnsi"/>
          <w:b/>
          <w:bCs/>
          <w:lang w:val="pt-PT"/>
        </w:rPr>
        <w:t xml:space="preserve">MOBILIDADE INTERCARREIRAS - TSA – Licenciaturas </w:t>
      </w:r>
      <w:r w:rsidR="006002A1">
        <w:rPr>
          <w:rFonts w:asciiTheme="majorHAnsi" w:hAnsiTheme="majorHAnsi" w:cstheme="majorHAnsi"/>
          <w:b/>
          <w:bCs/>
          <w:lang w:val="pt-PT"/>
        </w:rPr>
        <w:t>não o</w:t>
      </w:r>
      <w:r>
        <w:rPr>
          <w:rFonts w:asciiTheme="majorHAnsi" w:hAnsiTheme="majorHAnsi" w:cstheme="majorHAnsi"/>
          <w:b/>
          <w:bCs/>
          <w:lang w:val="pt-PT"/>
        </w:rPr>
        <w:t xml:space="preserve">rgânicas – procedimento autorizado por despacho da Sra. Diretora-Geral da Autoridade Tributária e Aduaneira de </w:t>
      </w:r>
      <w:r w:rsidR="006002A1">
        <w:rPr>
          <w:rFonts w:asciiTheme="majorHAnsi" w:hAnsiTheme="majorHAnsi" w:cstheme="majorHAnsi"/>
          <w:b/>
          <w:bCs/>
          <w:lang w:val="pt-PT"/>
        </w:rPr>
        <w:t>26</w:t>
      </w:r>
      <w:r>
        <w:rPr>
          <w:rFonts w:asciiTheme="majorHAnsi" w:hAnsiTheme="majorHAnsi" w:cstheme="majorHAnsi"/>
          <w:b/>
          <w:bCs/>
          <w:lang w:val="pt-PT"/>
        </w:rPr>
        <w:t>.</w:t>
      </w:r>
      <w:r w:rsidR="006002A1">
        <w:rPr>
          <w:rFonts w:asciiTheme="majorHAnsi" w:hAnsiTheme="majorHAnsi" w:cstheme="majorHAnsi"/>
          <w:b/>
          <w:bCs/>
          <w:lang w:val="pt-PT"/>
        </w:rPr>
        <w:t>12</w:t>
      </w:r>
      <w:r>
        <w:rPr>
          <w:rFonts w:asciiTheme="majorHAnsi" w:hAnsiTheme="majorHAnsi" w:cstheme="majorHAnsi"/>
          <w:b/>
          <w:bCs/>
          <w:lang w:val="pt-PT"/>
        </w:rPr>
        <w:t xml:space="preserve">.2019 – </w:t>
      </w:r>
      <w:r w:rsidR="002B6189">
        <w:rPr>
          <w:rFonts w:asciiTheme="majorHAnsi" w:hAnsiTheme="majorHAnsi" w:cstheme="majorHAnsi"/>
          <w:b/>
          <w:bCs/>
          <w:lang w:val="pt-PT"/>
        </w:rPr>
        <w:t xml:space="preserve">Alteração do </w:t>
      </w:r>
      <w:r>
        <w:rPr>
          <w:rFonts w:asciiTheme="majorHAnsi" w:hAnsiTheme="majorHAnsi" w:cstheme="majorHAnsi"/>
          <w:b/>
          <w:bCs/>
          <w:lang w:val="pt-PT"/>
        </w:rPr>
        <w:t>posicionamento remuneratório.</w:t>
      </w:r>
    </w:p>
    <w:p w14:paraId="51FB3014" w14:textId="77777777" w:rsidR="00582BD7" w:rsidRDefault="00582BD7" w:rsidP="00582BD7">
      <w:pPr>
        <w:jc w:val="both"/>
        <w:rPr>
          <w:rFonts w:asciiTheme="majorHAnsi" w:hAnsiTheme="majorHAnsi" w:cstheme="majorHAnsi"/>
          <w:lang w:val="pt-PT"/>
        </w:rPr>
      </w:pPr>
    </w:p>
    <w:p w14:paraId="2C706009" w14:textId="61B73D1E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___________________________, NIF ________________ funcionário(a) n.º _______, com a cate</w:t>
      </w:r>
      <w:r w:rsidR="00166610">
        <w:rPr>
          <w:rFonts w:asciiTheme="majorHAnsi" w:hAnsiTheme="majorHAnsi" w:cstheme="majorHAnsi"/>
          <w:lang w:val="pt-PT"/>
        </w:rPr>
        <w:t>goria de ____________</w:t>
      </w:r>
      <w:bookmarkStart w:id="0" w:name="_GoBack"/>
      <w:bookmarkEnd w:id="0"/>
      <w:r>
        <w:rPr>
          <w:rFonts w:asciiTheme="majorHAnsi" w:hAnsiTheme="majorHAnsi" w:cstheme="majorHAnsi"/>
          <w:lang w:val="pt-PT"/>
        </w:rPr>
        <w:t xml:space="preserve">, do mapa de pessoal da Autoridade Tributária e Aduaneira, colocado(a) a exercer funções no Serviço ________________, no âmbito da </w:t>
      </w:r>
      <w:r w:rsidRPr="001566A6">
        <w:rPr>
          <w:rFonts w:asciiTheme="majorHAnsi" w:hAnsiTheme="majorHAnsi" w:cstheme="majorHAnsi"/>
          <w:u w:val="single"/>
          <w:lang w:val="pt-PT"/>
        </w:rPr>
        <w:t>mobilidade intercarreiras para a carreira de Técnico Superior Aduaneiro (TSA) – licenciaturas</w:t>
      </w:r>
      <w:r w:rsidR="006002A1" w:rsidRPr="001566A6">
        <w:rPr>
          <w:rFonts w:asciiTheme="majorHAnsi" w:hAnsiTheme="majorHAnsi" w:cstheme="majorHAnsi"/>
          <w:u w:val="single"/>
          <w:lang w:val="pt-PT"/>
        </w:rPr>
        <w:t xml:space="preserve"> não</w:t>
      </w:r>
      <w:r w:rsidRPr="001566A6">
        <w:rPr>
          <w:rFonts w:asciiTheme="majorHAnsi" w:hAnsiTheme="majorHAnsi" w:cstheme="majorHAnsi"/>
          <w:u w:val="single"/>
          <w:lang w:val="pt-PT"/>
        </w:rPr>
        <w:t xml:space="preserve"> orgânicas</w:t>
      </w:r>
      <w:r>
        <w:rPr>
          <w:rFonts w:asciiTheme="majorHAnsi" w:hAnsiTheme="majorHAnsi" w:cstheme="majorHAnsi"/>
          <w:lang w:val="pt-PT"/>
        </w:rPr>
        <w:t xml:space="preserve"> - autorizado por despacho da Sra. Diretora-Geral da Autoridade Tributária e Aduaneira de </w:t>
      </w:r>
      <w:r w:rsidR="00480E4D">
        <w:rPr>
          <w:rFonts w:asciiTheme="majorHAnsi" w:hAnsiTheme="majorHAnsi" w:cstheme="majorHAnsi"/>
          <w:lang w:val="pt-PT"/>
        </w:rPr>
        <w:t>26</w:t>
      </w:r>
      <w:r>
        <w:rPr>
          <w:rFonts w:asciiTheme="majorHAnsi" w:hAnsiTheme="majorHAnsi" w:cstheme="majorHAnsi"/>
          <w:lang w:val="pt-PT"/>
        </w:rPr>
        <w:t>.</w:t>
      </w:r>
      <w:r w:rsidR="00480E4D">
        <w:rPr>
          <w:rFonts w:asciiTheme="majorHAnsi" w:hAnsiTheme="majorHAnsi" w:cstheme="majorHAnsi"/>
          <w:lang w:val="pt-PT"/>
        </w:rPr>
        <w:t>12</w:t>
      </w:r>
      <w:r>
        <w:rPr>
          <w:rFonts w:asciiTheme="majorHAnsi" w:hAnsiTheme="majorHAnsi" w:cstheme="majorHAnsi"/>
          <w:lang w:val="pt-PT"/>
        </w:rPr>
        <w:t xml:space="preserve">.2019, vem, respeitosamente, </w:t>
      </w:r>
      <w:r>
        <w:rPr>
          <w:rFonts w:asciiTheme="majorHAnsi" w:hAnsiTheme="majorHAnsi" w:cstheme="majorHAnsi"/>
          <w:u w:val="single"/>
          <w:lang w:val="pt-PT"/>
        </w:rPr>
        <w:t xml:space="preserve">expor e requerer a V. </w:t>
      </w:r>
      <w:proofErr w:type="gramStart"/>
      <w:r>
        <w:rPr>
          <w:rFonts w:asciiTheme="majorHAnsi" w:hAnsiTheme="majorHAnsi" w:cstheme="majorHAnsi"/>
          <w:u w:val="single"/>
          <w:lang w:val="pt-PT"/>
        </w:rPr>
        <w:t>Exa.</w:t>
      </w:r>
      <w:proofErr w:type="gramEnd"/>
      <w:r>
        <w:rPr>
          <w:rFonts w:asciiTheme="majorHAnsi" w:hAnsiTheme="majorHAnsi" w:cstheme="majorHAnsi"/>
          <w:u w:val="single"/>
          <w:lang w:val="pt-PT"/>
        </w:rPr>
        <w:t xml:space="preserve"> o seguinte</w:t>
      </w:r>
      <w:r>
        <w:rPr>
          <w:rFonts w:asciiTheme="majorHAnsi" w:hAnsiTheme="majorHAnsi" w:cstheme="majorHAnsi"/>
          <w:lang w:val="pt-PT"/>
        </w:rPr>
        <w:t>:</w:t>
      </w:r>
    </w:p>
    <w:p w14:paraId="6E20FAE7" w14:textId="162F41F2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0D05993F" w14:textId="428DA923" w:rsidR="00412151" w:rsidRDefault="00412151" w:rsidP="0041211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412151">
        <w:rPr>
          <w:rFonts w:asciiTheme="majorHAnsi" w:hAnsiTheme="majorHAnsi" w:cstheme="majorHAnsi"/>
          <w:lang w:val="pt-PT"/>
        </w:rPr>
        <w:t>Por despacho de V. Exa, datado de 16/05/2019, exarado na Informação nº 28/</w:t>
      </w:r>
      <w:proofErr w:type="spellStart"/>
      <w:r w:rsidRPr="00412151">
        <w:rPr>
          <w:rFonts w:asciiTheme="majorHAnsi" w:hAnsiTheme="majorHAnsi" w:cstheme="majorHAnsi"/>
          <w:lang w:val="pt-PT"/>
        </w:rPr>
        <w:t>DlR</w:t>
      </w:r>
      <w:proofErr w:type="spellEnd"/>
      <w:r w:rsidRPr="00412151">
        <w:rPr>
          <w:rFonts w:asciiTheme="majorHAnsi" w:hAnsiTheme="majorHAnsi" w:cstheme="majorHAnsi"/>
          <w:lang w:val="pt-PT"/>
        </w:rPr>
        <w:t>/2019 da DSGRH, foi dado início ao procedimento prévio da mobilidade intercarreiras – através da realização d</w:t>
      </w:r>
      <w:r w:rsidR="009B1518">
        <w:rPr>
          <w:rFonts w:asciiTheme="majorHAnsi" w:hAnsiTheme="majorHAnsi" w:cstheme="majorHAnsi"/>
          <w:lang w:val="pt-PT"/>
        </w:rPr>
        <w:t>e</w:t>
      </w:r>
      <w:r w:rsidRPr="00412151">
        <w:rPr>
          <w:rFonts w:asciiTheme="majorHAnsi" w:hAnsiTheme="majorHAnsi" w:cstheme="majorHAnsi"/>
          <w:lang w:val="pt-PT"/>
        </w:rPr>
        <w:t xml:space="preserve"> formação específica qualificante - destinada aos </w:t>
      </w:r>
      <w:r w:rsidRPr="00412151">
        <w:rPr>
          <w:rFonts w:asciiTheme="majorHAnsi" w:hAnsiTheme="majorHAnsi" w:cstheme="majorHAnsi"/>
          <w:i/>
          <w:iCs/>
          <w:lang w:val="pt-PT"/>
        </w:rPr>
        <w:t xml:space="preserve">verificadores auxiliares aduaneiros, secretários aduaneiros </w:t>
      </w:r>
      <w:proofErr w:type="gramStart"/>
      <w:r w:rsidRPr="00412151">
        <w:rPr>
          <w:rFonts w:asciiTheme="majorHAnsi" w:hAnsiTheme="majorHAnsi" w:cstheme="majorHAnsi"/>
          <w:i/>
          <w:iCs/>
          <w:lang w:val="pt-PT"/>
        </w:rPr>
        <w:t>e</w:t>
      </w:r>
      <w:proofErr w:type="gramEnd"/>
      <w:r w:rsidRPr="00412151">
        <w:rPr>
          <w:rFonts w:asciiTheme="majorHAnsi" w:hAnsiTheme="majorHAnsi" w:cstheme="majorHAnsi"/>
          <w:i/>
          <w:iCs/>
          <w:lang w:val="pt-PT"/>
        </w:rPr>
        <w:t xml:space="preserve"> </w:t>
      </w:r>
      <w:proofErr w:type="gramStart"/>
      <w:r w:rsidRPr="00412151">
        <w:rPr>
          <w:rFonts w:asciiTheme="majorHAnsi" w:hAnsiTheme="majorHAnsi" w:cstheme="majorHAnsi"/>
          <w:i/>
          <w:iCs/>
          <w:lang w:val="pt-PT"/>
        </w:rPr>
        <w:t>técnicos</w:t>
      </w:r>
      <w:proofErr w:type="gramEnd"/>
      <w:r w:rsidRPr="00412151">
        <w:rPr>
          <w:rFonts w:asciiTheme="majorHAnsi" w:hAnsiTheme="majorHAnsi" w:cstheme="majorHAnsi"/>
          <w:i/>
          <w:iCs/>
          <w:lang w:val="pt-PT"/>
        </w:rPr>
        <w:t xml:space="preserve"> verificadores</w:t>
      </w:r>
      <w:r>
        <w:rPr>
          <w:rFonts w:asciiTheme="majorHAnsi" w:hAnsiTheme="majorHAnsi" w:cstheme="majorHAnsi"/>
          <w:i/>
          <w:iCs/>
          <w:lang w:val="pt-PT"/>
        </w:rPr>
        <w:t xml:space="preserve"> -</w:t>
      </w:r>
      <w:r w:rsidRPr="00412151">
        <w:rPr>
          <w:rFonts w:asciiTheme="majorHAnsi" w:hAnsiTheme="majorHAnsi" w:cstheme="majorHAnsi"/>
          <w:lang w:val="pt-PT"/>
        </w:rPr>
        <w:t xml:space="preserve"> detentores de outros cursos superiores/licenciaturas - “não orgânicas” - atent</w:t>
      </w:r>
      <w:r>
        <w:rPr>
          <w:rFonts w:asciiTheme="majorHAnsi" w:hAnsiTheme="majorHAnsi" w:cstheme="majorHAnsi"/>
          <w:lang w:val="pt-PT"/>
        </w:rPr>
        <w:t>o</w:t>
      </w:r>
      <w:r w:rsidRPr="00412151"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lang w:val="pt-PT"/>
        </w:rPr>
        <w:t xml:space="preserve">o </w:t>
      </w:r>
      <w:r w:rsidRPr="00412151">
        <w:rPr>
          <w:rFonts w:asciiTheme="majorHAnsi" w:hAnsiTheme="majorHAnsi" w:cstheme="majorHAnsi"/>
          <w:lang w:val="pt-PT"/>
        </w:rPr>
        <w:t>conteúdo funcional da carreira de T</w:t>
      </w:r>
      <w:r>
        <w:rPr>
          <w:rFonts w:asciiTheme="majorHAnsi" w:hAnsiTheme="majorHAnsi" w:cstheme="majorHAnsi"/>
          <w:lang w:val="pt-PT"/>
        </w:rPr>
        <w:t>écnico Superior Aduaneiro (TSA)</w:t>
      </w:r>
      <w:r w:rsidRPr="00412151">
        <w:rPr>
          <w:rFonts w:asciiTheme="majorHAnsi" w:hAnsiTheme="majorHAnsi" w:cstheme="majorHAnsi"/>
          <w:lang w:val="pt-PT"/>
        </w:rPr>
        <w:t>.</w:t>
      </w:r>
    </w:p>
    <w:p w14:paraId="2525BFD1" w14:textId="77777777" w:rsidR="00412151" w:rsidRPr="00412151" w:rsidRDefault="00412151" w:rsidP="00412151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4A2464CD" w14:textId="53F687FB" w:rsidR="00412151" w:rsidRPr="006012BC" w:rsidRDefault="00412151" w:rsidP="004121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C</w:t>
      </w:r>
      <w:r w:rsidRPr="00C9697E">
        <w:rPr>
          <w:rFonts w:asciiTheme="majorHAnsi" w:hAnsiTheme="majorHAnsi" w:cstheme="majorHAnsi"/>
          <w:lang w:val="pt-PT"/>
        </w:rPr>
        <w:t>oncluída a formação específica qualificante</w:t>
      </w:r>
      <w:r>
        <w:rPr>
          <w:rFonts w:asciiTheme="majorHAnsi" w:hAnsiTheme="majorHAnsi" w:cstheme="majorHAnsi"/>
          <w:lang w:val="pt-PT"/>
        </w:rPr>
        <w:t xml:space="preserve">, foi autorizado através de </w:t>
      </w:r>
      <w:r w:rsidRPr="00C9697E">
        <w:rPr>
          <w:rFonts w:asciiTheme="majorHAnsi" w:hAnsiTheme="majorHAnsi" w:cstheme="majorHAnsi"/>
          <w:lang w:val="pt-PT"/>
        </w:rPr>
        <w:t xml:space="preserve">despacho de V. Exa, datado de </w:t>
      </w:r>
      <w:r>
        <w:rPr>
          <w:rFonts w:asciiTheme="majorHAnsi" w:hAnsiTheme="majorHAnsi" w:cstheme="majorHAnsi"/>
          <w:lang w:val="pt-PT"/>
        </w:rPr>
        <w:t>26</w:t>
      </w:r>
      <w:r w:rsidRPr="00C9697E">
        <w:rPr>
          <w:rFonts w:asciiTheme="majorHAnsi" w:hAnsiTheme="majorHAnsi" w:cstheme="majorHAnsi"/>
          <w:lang w:val="pt-PT"/>
        </w:rPr>
        <w:t>/</w:t>
      </w:r>
      <w:r>
        <w:rPr>
          <w:rFonts w:asciiTheme="majorHAnsi" w:hAnsiTheme="majorHAnsi" w:cstheme="majorHAnsi"/>
          <w:lang w:val="pt-PT"/>
        </w:rPr>
        <w:t>12/</w:t>
      </w:r>
      <w:r w:rsidRPr="00C9697E">
        <w:rPr>
          <w:rFonts w:asciiTheme="majorHAnsi" w:hAnsiTheme="majorHAnsi" w:cstheme="majorHAnsi"/>
          <w:lang w:val="pt-PT"/>
        </w:rPr>
        <w:t>2019, exarado na Informação da DSGRH</w:t>
      </w:r>
      <w:r>
        <w:rPr>
          <w:rFonts w:asciiTheme="majorHAnsi" w:hAnsiTheme="majorHAnsi" w:cstheme="majorHAnsi"/>
          <w:lang w:val="pt-PT"/>
        </w:rPr>
        <w:t xml:space="preserve"> n.º 1196DRM/2019, com</w:t>
      </w:r>
      <w:r w:rsidRPr="00412151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 xml:space="preserve"> produção de efeitos a </w:t>
      </w:r>
      <w:r w:rsidR="002B6189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>23</w:t>
      </w:r>
      <w:r w:rsidRPr="00412151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>/</w:t>
      </w:r>
      <w:r w:rsidR="002B6189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>12</w:t>
      </w:r>
      <w:r w:rsidRPr="00412151">
        <w:rPr>
          <w:rFonts w:asciiTheme="majorHAnsi" w:hAnsiTheme="majorHAnsi" w:cstheme="majorHAnsi"/>
          <w:b/>
          <w:bCs/>
          <w:i/>
          <w:iCs/>
          <w:u w:val="single"/>
          <w:lang w:val="pt-PT"/>
        </w:rPr>
        <w:t>/2019</w:t>
      </w:r>
      <w:r w:rsidRPr="00412151">
        <w:rPr>
          <w:rFonts w:asciiTheme="majorHAnsi" w:hAnsiTheme="majorHAnsi" w:cstheme="majorHAnsi"/>
          <w:i/>
          <w:iCs/>
          <w:lang w:val="pt-PT"/>
        </w:rPr>
        <w:t xml:space="preserve">, </w:t>
      </w:r>
      <w:r>
        <w:rPr>
          <w:rFonts w:asciiTheme="majorHAnsi" w:hAnsiTheme="majorHAnsi" w:cstheme="majorHAnsi"/>
          <w:lang w:val="pt-PT"/>
        </w:rPr>
        <w:t>a mobilidade intercarreiras</w:t>
      </w:r>
      <w:r w:rsidR="006012BC" w:rsidRPr="006012BC">
        <w:rPr>
          <w:rFonts w:asciiTheme="majorHAnsi" w:hAnsiTheme="majorHAnsi" w:cstheme="majorHAnsi"/>
          <w:i/>
          <w:iCs/>
          <w:lang w:val="pt-PT"/>
        </w:rPr>
        <w:t xml:space="preserve"> </w:t>
      </w:r>
      <w:r w:rsidR="006012BC" w:rsidRPr="006012BC">
        <w:rPr>
          <w:rFonts w:asciiTheme="majorHAnsi" w:hAnsiTheme="majorHAnsi" w:cstheme="majorHAnsi"/>
          <w:lang w:val="pt-PT"/>
        </w:rPr>
        <w:t>para técnico superior aduaneiro</w:t>
      </w:r>
      <w:r w:rsidRPr="006012BC">
        <w:rPr>
          <w:rFonts w:asciiTheme="majorHAnsi" w:hAnsiTheme="majorHAnsi" w:cstheme="majorHAnsi"/>
          <w:lang w:val="pt-PT"/>
        </w:rPr>
        <w:t>,</w:t>
      </w:r>
      <w:r w:rsidR="006012BC" w:rsidRPr="006012BC">
        <w:rPr>
          <w:rFonts w:asciiTheme="majorHAnsi" w:hAnsiTheme="majorHAnsi" w:cstheme="majorHAnsi"/>
          <w:lang w:val="pt-PT"/>
        </w:rPr>
        <w:t xml:space="preserve"> </w:t>
      </w:r>
      <w:r w:rsidRPr="006012BC">
        <w:rPr>
          <w:rFonts w:asciiTheme="majorHAnsi" w:hAnsiTheme="majorHAnsi" w:cstheme="majorHAnsi"/>
          <w:lang w:val="pt-PT"/>
        </w:rPr>
        <w:t>destinada aos</w:t>
      </w:r>
      <w:r w:rsidR="006012BC" w:rsidRPr="006012BC">
        <w:rPr>
          <w:rFonts w:asciiTheme="majorHAnsi" w:hAnsiTheme="majorHAnsi" w:cstheme="majorHAnsi"/>
          <w:lang w:val="pt-PT"/>
        </w:rPr>
        <w:t xml:space="preserve"> trabalhadores</w:t>
      </w:r>
      <w:r w:rsidRPr="006012BC">
        <w:rPr>
          <w:rFonts w:asciiTheme="majorHAnsi" w:hAnsiTheme="majorHAnsi" w:cstheme="majorHAnsi"/>
          <w:lang w:val="pt-PT"/>
        </w:rPr>
        <w:t xml:space="preserve"> </w:t>
      </w:r>
      <w:r w:rsidR="006012BC" w:rsidRPr="006012BC">
        <w:rPr>
          <w:rFonts w:asciiTheme="majorHAnsi" w:hAnsiTheme="majorHAnsi" w:cstheme="majorHAnsi"/>
          <w:lang w:val="pt-PT"/>
        </w:rPr>
        <w:t>das carreiras de verificador auxiliar aduaneiro, secretário aduaneiro e técnico verificador,</w:t>
      </w:r>
      <w:r w:rsidRPr="006012BC">
        <w:rPr>
          <w:rFonts w:asciiTheme="majorHAnsi" w:hAnsiTheme="majorHAnsi" w:cstheme="majorHAnsi"/>
          <w:lang w:val="pt-PT"/>
        </w:rPr>
        <w:t xml:space="preserve"> detentores de outros cursos superiores/licenciaturas - “não orgânicas”.</w:t>
      </w:r>
    </w:p>
    <w:p w14:paraId="2E019032" w14:textId="77777777" w:rsidR="00412151" w:rsidRDefault="00412151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63F49F3F" w14:textId="77777777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3A8E2987" w14:textId="77777777" w:rsidR="00582BD7" w:rsidRDefault="00582BD7" w:rsidP="00582B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lastRenderedPageBreak/>
        <w:t xml:space="preserve">A mobilidade intercarreiras em apreço, foi autorizada nos termos e para os efeitos previstos no artigo 99º-A da Lei n.º 35/2014, de 20.06, de ora em diante designada por LTFP, tendo sido determinado pela AT que a mesma estaria sujeita a um período experimental, o qual seguiria as regras e os trâmites previstos no artigo 68º do Decreto-Lei nº 252-A/82, de 28/06, com as alterações posteriores, e no Regulamento de Estágio para Ingresso na Carreira de Técnico Superior Aduaneiro, aprovado pelo despacho conjunto dos Secretários de Estado do Orçamento e dos Assuntos Fiscais, de 28/12/1993 (publicado na 2.ª série do Diário da República n.º 38, de 15/02/1994), sendo que, a consolidação da mobilidade intercarreiras </w:t>
      </w:r>
      <w:proofErr w:type="gramStart"/>
      <w:r>
        <w:rPr>
          <w:rFonts w:asciiTheme="majorHAnsi" w:hAnsiTheme="majorHAnsi" w:cstheme="majorHAnsi"/>
          <w:lang w:val="pt-PT"/>
        </w:rPr>
        <w:t>ficava  dependente</w:t>
      </w:r>
      <w:proofErr w:type="gramEnd"/>
      <w:r>
        <w:rPr>
          <w:rFonts w:asciiTheme="majorHAnsi" w:hAnsiTheme="majorHAnsi" w:cstheme="majorHAnsi"/>
          <w:lang w:val="pt-PT"/>
        </w:rPr>
        <w:t xml:space="preserve"> da aprovação nesse período experimental.</w:t>
      </w:r>
    </w:p>
    <w:p w14:paraId="7ADBF143" w14:textId="77777777" w:rsidR="00582BD7" w:rsidRDefault="00582BD7" w:rsidP="00582BD7">
      <w:pPr>
        <w:pStyle w:val="PargrafodaLista"/>
        <w:rPr>
          <w:rFonts w:asciiTheme="majorHAnsi" w:hAnsiTheme="majorHAnsi" w:cstheme="majorHAnsi"/>
          <w:lang w:val="pt-PT"/>
        </w:rPr>
      </w:pPr>
    </w:p>
    <w:p w14:paraId="62C393A5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i/>
          <w:iCs/>
          <w:lang w:val="pt-PT"/>
        </w:rPr>
      </w:pPr>
      <w:r>
        <w:rPr>
          <w:rFonts w:asciiTheme="majorHAnsi" w:hAnsiTheme="majorHAnsi" w:cstheme="majorHAnsi"/>
          <w:lang w:val="pt-PT"/>
        </w:rPr>
        <w:t xml:space="preserve">Por razões gestionárias e de otimização de recursos, foi determinado que os trabalhadores abrangidos pela mobilidade manter-se-iam </w:t>
      </w:r>
      <w:r>
        <w:rPr>
          <w:rFonts w:asciiTheme="majorHAnsi" w:hAnsiTheme="majorHAnsi" w:cstheme="majorHAnsi"/>
          <w:i/>
          <w:iCs/>
          <w:lang w:val="pt-PT"/>
        </w:rPr>
        <w:t xml:space="preserve">a exercer funções nas unidades orgânicas atuais, devendo os respetivos dirigentes proceder a uma </w:t>
      </w:r>
      <w:proofErr w:type="spellStart"/>
      <w:r>
        <w:rPr>
          <w:rFonts w:asciiTheme="majorHAnsi" w:hAnsiTheme="majorHAnsi" w:cstheme="majorHAnsi"/>
          <w:i/>
          <w:iCs/>
          <w:lang w:val="pt-PT"/>
        </w:rPr>
        <w:t>reafetação</w:t>
      </w:r>
      <w:proofErr w:type="spellEnd"/>
      <w:r>
        <w:rPr>
          <w:rFonts w:asciiTheme="majorHAnsi" w:hAnsiTheme="majorHAnsi" w:cstheme="majorHAnsi"/>
          <w:i/>
          <w:iCs/>
          <w:lang w:val="pt-PT"/>
        </w:rPr>
        <w:t xml:space="preserve"> de funções, para tarefas de natureza técnica, enquadradas genericamente no conteúdo funcional da carreira de técnico superior aduaneiro.</w:t>
      </w:r>
    </w:p>
    <w:p w14:paraId="040407F9" w14:textId="77777777" w:rsidR="00582BD7" w:rsidRDefault="00582BD7" w:rsidP="00582BD7">
      <w:pPr>
        <w:pStyle w:val="PargrafodaLista"/>
        <w:rPr>
          <w:rFonts w:asciiTheme="majorHAnsi" w:hAnsiTheme="majorHAnsi" w:cstheme="majorHAnsi"/>
          <w:i/>
          <w:iCs/>
          <w:lang w:val="pt-PT"/>
        </w:rPr>
      </w:pPr>
    </w:p>
    <w:p w14:paraId="29B28592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Durante o período experimental, os trabalhadores abrangidos pela mobilidade foram posicionados no escalão 1/índice 337 de Verificador Superior Estagiário, a que corresponde a remuneração base de 1.156,85€, com a possibilidade, porém, de optar pela remuneração de origem. </w:t>
      </w:r>
    </w:p>
    <w:p w14:paraId="40BAE8A9" w14:textId="77777777" w:rsidR="00582BD7" w:rsidRDefault="00582BD7" w:rsidP="00582BD7">
      <w:pPr>
        <w:pStyle w:val="PargrafodaLista"/>
        <w:rPr>
          <w:rFonts w:asciiTheme="majorHAnsi" w:hAnsiTheme="majorHAnsi" w:cstheme="majorHAnsi"/>
          <w:lang w:val="pt-PT"/>
        </w:rPr>
      </w:pPr>
    </w:p>
    <w:p w14:paraId="5D7C8531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Sucede que, relativamente ao posicionamento remuneratório decorrente da colocação dos trabalhadores em situação de mobilidade, </w:t>
      </w:r>
      <w:r>
        <w:rPr>
          <w:rFonts w:asciiTheme="majorHAnsi" w:hAnsiTheme="majorHAnsi" w:cstheme="majorHAnsi"/>
          <w:u w:val="single"/>
          <w:lang w:val="pt-PT"/>
        </w:rPr>
        <w:t xml:space="preserve">constata-se que a Lei n.º 35/2014, de 20.06, prevê, expressamente, a existência de normas </w:t>
      </w:r>
      <w:proofErr w:type="gramStart"/>
      <w:r>
        <w:rPr>
          <w:rFonts w:asciiTheme="majorHAnsi" w:hAnsiTheme="majorHAnsi" w:cstheme="majorHAnsi"/>
          <w:u w:val="single"/>
          <w:lang w:val="pt-PT"/>
        </w:rPr>
        <w:t>especificas</w:t>
      </w:r>
      <w:proofErr w:type="gramEnd"/>
      <w:r>
        <w:rPr>
          <w:rFonts w:asciiTheme="majorHAnsi" w:hAnsiTheme="majorHAnsi" w:cstheme="majorHAnsi"/>
          <w:u w:val="single"/>
          <w:lang w:val="pt-PT"/>
        </w:rPr>
        <w:t xml:space="preserve"> a aplicar relativamente à remuneração em caso de colocação em situação de mobilidade e, que, no entendimento do(a) ora Requerente, deveriam prevalecer e ter sido aplicadas ao seu caso em concreto</w:t>
      </w:r>
      <w:r>
        <w:rPr>
          <w:rFonts w:asciiTheme="majorHAnsi" w:hAnsiTheme="majorHAnsi" w:cstheme="majorHAnsi"/>
          <w:lang w:val="pt-PT"/>
        </w:rPr>
        <w:t>.</w:t>
      </w:r>
    </w:p>
    <w:p w14:paraId="0D0E94ED" w14:textId="77777777" w:rsidR="00582BD7" w:rsidRDefault="00582BD7" w:rsidP="00582BD7">
      <w:pPr>
        <w:pStyle w:val="PargrafodaLista"/>
        <w:rPr>
          <w:rFonts w:asciiTheme="majorHAnsi" w:hAnsiTheme="majorHAnsi" w:cstheme="majorHAnsi"/>
          <w:lang w:val="pt-PT"/>
        </w:rPr>
      </w:pPr>
    </w:p>
    <w:p w14:paraId="0373FFB3" w14:textId="77777777" w:rsidR="00582BD7" w:rsidRDefault="00582BD7" w:rsidP="00582BD7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u w:val="single"/>
          <w:lang w:val="pt-PT"/>
        </w:rPr>
        <w:t>Assim vejamos:</w:t>
      </w:r>
    </w:p>
    <w:p w14:paraId="142520F7" w14:textId="77777777" w:rsidR="00582BD7" w:rsidRDefault="00582BD7" w:rsidP="00582BD7">
      <w:pPr>
        <w:pStyle w:val="PargrafodaLista"/>
        <w:rPr>
          <w:rFonts w:asciiTheme="majorHAnsi" w:hAnsiTheme="majorHAnsi" w:cstheme="majorHAnsi"/>
          <w:lang w:val="pt-PT"/>
        </w:rPr>
      </w:pPr>
    </w:p>
    <w:p w14:paraId="6F6E5A47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De acordo com o n.º 1, alínea a), do artigo 41º do preâmbulo da LTFP: </w:t>
      </w:r>
      <w:r>
        <w:rPr>
          <w:rFonts w:asciiTheme="majorHAnsi" w:hAnsiTheme="majorHAnsi" w:cstheme="majorHAnsi"/>
          <w:i/>
          <w:iCs/>
          <w:lang w:val="pt-PT"/>
        </w:rPr>
        <w:t xml:space="preserve">“Sem prejuízo da revisão que deva ter lugar nos termos legalmente previstos, mantêm-se as carreiras que ainda não tenham sido objeto de extinção, de revisão ou de decisão de subsistência, designadamente as de regime especial e as de corpos especiais, bem como a integração dos respetivos trabalhadores, sendo que: a) Só após tal revisão tem lugar, relativamente a tais trabalhadores, a execução das transições através da lista nominativa referida no artigo 109.º da Lei n.º 12-A/2008, de 27 de fevereiro, na redação atual, </w:t>
      </w:r>
      <w:r>
        <w:rPr>
          <w:rFonts w:asciiTheme="majorHAnsi" w:hAnsiTheme="majorHAnsi" w:cstheme="majorHAnsi"/>
          <w:i/>
          <w:iCs/>
          <w:u w:val="single"/>
          <w:lang w:val="pt-PT"/>
        </w:rPr>
        <w:t xml:space="preserve">exceto </w:t>
      </w:r>
      <w:r>
        <w:rPr>
          <w:rFonts w:asciiTheme="majorHAnsi" w:hAnsiTheme="majorHAnsi" w:cstheme="majorHAnsi"/>
          <w:i/>
          <w:iCs/>
          <w:u w:val="single"/>
          <w:lang w:val="pt-PT"/>
        </w:rPr>
        <w:lastRenderedPageBreak/>
        <w:t>no respeitante à modalidade de constituição da sua relação jurídica de emprego público e às situações de mobilidade geral do ou no órgão ou serviço</w:t>
      </w:r>
      <w:r>
        <w:rPr>
          <w:rFonts w:asciiTheme="majorHAnsi" w:hAnsiTheme="majorHAnsi" w:cstheme="majorHAnsi"/>
          <w:i/>
          <w:iCs/>
          <w:lang w:val="pt-PT"/>
        </w:rPr>
        <w:t>”.</w:t>
      </w:r>
    </w:p>
    <w:p w14:paraId="778A389F" w14:textId="77777777" w:rsidR="00582BD7" w:rsidRDefault="00582BD7" w:rsidP="00582BD7">
      <w:pPr>
        <w:pStyle w:val="PargrafodaLista"/>
        <w:rPr>
          <w:rFonts w:asciiTheme="majorHAnsi" w:hAnsiTheme="majorHAnsi" w:cstheme="majorHAnsi"/>
          <w:lang w:val="pt-PT"/>
        </w:rPr>
      </w:pPr>
    </w:p>
    <w:p w14:paraId="0CAB1C15" w14:textId="4F9E6A5F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u w:val="single"/>
          <w:lang w:val="pt-PT"/>
        </w:rPr>
        <w:t xml:space="preserve">Decorre, assim, desta norma, para os trabalhadores integrados em carreiras não revistas </w:t>
      </w:r>
      <w:r>
        <w:rPr>
          <w:rFonts w:asciiTheme="majorHAnsi" w:hAnsiTheme="majorHAnsi" w:cstheme="majorHAnsi"/>
          <w:lang w:val="pt-PT"/>
        </w:rPr>
        <w:t>(situação em que os trabalhadores abrangidos pela presente mobilidade se encontravam à data da sua abertura)</w:t>
      </w:r>
      <w:r>
        <w:rPr>
          <w:rFonts w:asciiTheme="majorHAnsi" w:hAnsiTheme="majorHAnsi" w:cstheme="majorHAnsi"/>
          <w:u w:val="single"/>
          <w:lang w:val="pt-PT"/>
        </w:rPr>
        <w:t xml:space="preserve"> a aplicação do regime da mobilidade geral (desde que no mesmo órgão ou serviço), consagrado nos artigos 92º e seguintes na Lei Geral do Trabalho em Funções Públicas</w:t>
      </w:r>
      <w:r>
        <w:rPr>
          <w:rFonts w:asciiTheme="majorHAnsi" w:hAnsiTheme="majorHAnsi" w:cstheme="majorHAnsi"/>
          <w:lang w:val="pt-PT"/>
        </w:rPr>
        <w:t>, aprovada pela Lei n.º 35/2014, de 20 de junho.</w:t>
      </w:r>
    </w:p>
    <w:p w14:paraId="087F135C" w14:textId="77777777" w:rsidR="009B1518" w:rsidRPr="009B1518" w:rsidRDefault="009B1518" w:rsidP="009B1518">
      <w:pPr>
        <w:pStyle w:val="PargrafodaLista"/>
        <w:rPr>
          <w:rFonts w:asciiTheme="majorHAnsi" w:hAnsiTheme="majorHAnsi" w:cstheme="majorHAnsi"/>
          <w:lang w:val="pt-PT"/>
        </w:rPr>
      </w:pPr>
    </w:p>
    <w:p w14:paraId="1B610FE6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Ora, de acordo com o disposto no artigo 93º da LTFP, a</w:t>
      </w:r>
      <w:r>
        <w:rPr>
          <w:rFonts w:asciiTheme="majorHAnsi" w:hAnsiTheme="majorHAnsi" w:cstheme="majorHAnsi"/>
          <w:color w:val="333333"/>
          <w:shd w:val="clear" w:color="auto" w:fill="FFFFFF"/>
          <w:lang w:val="pt-PT"/>
        </w:rPr>
        <w:t xml:space="preserve">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mobilidade pode operar-se para </w:t>
      </w:r>
      <w:r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o exercício de funções não inerentes à categoria de que o trabalhador é titular e inerentes </w:t>
      </w:r>
      <w:r>
        <w:rPr>
          <w:rFonts w:asciiTheme="majorHAnsi" w:hAnsiTheme="majorHAnsi" w:cstheme="majorHAnsi"/>
          <w:u w:val="single"/>
          <w:lang w:val="pt-PT"/>
        </w:rPr>
        <w:t>a</w:t>
      </w:r>
      <w:r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 carreira de grau de complexidade funcional igual, superior ou inferior ao da carreira em que se encontra integrado ou ao da categoria de que é titular, consubstanciando este tipo de mobilidade a modalidade de mobilidade intercarreiras.</w:t>
      </w:r>
    </w:p>
    <w:p w14:paraId="75AB9BDB" w14:textId="77777777" w:rsidR="00582BD7" w:rsidRDefault="00582BD7" w:rsidP="00582BD7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53870E54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A mobilidade intercarreiras pode consolidar-se definitivamente, verificados que estejam os requisitos previstos no artigo 99º-A da LTFP.</w:t>
      </w:r>
    </w:p>
    <w:p w14:paraId="7F3D8A66" w14:textId="77777777" w:rsidR="00582BD7" w:rsidRDefault="00582BD7" w:rsidP="00582BD7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76F35BBE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Nestes termos, no que ao posicionamento remuneratório diz respeito, estando em causa a colocação do trabalhador numa situação de mobilidade intercarreiras, preveem os n.ºs 2 e 3 do artigo 153º da LTFP, especificamente o seguinte:</w:t>
      </w:r>
    </w:p>
    <w:p w14:paraId="71138F6B" w14:textId="77777777" w:rsidR="00582BD7" w:rsidRDefault="00582BD7" w:rsidP="00582BD7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i/>
          <w:iCs/>
          <w:lang w:val="pt-PT"/>
        </w:rPr>
      </w:pPr>
      <w:proofErr w:type="gramStart"/>
      <w:r>
        <w:rPr>
          <w:rFonts w:asciiTheme="majorHAnsi" w:hAnsiTheme="majorHAnsi" w:cstheme="majorHAnsi"/>
          <w:i/>
          <w:iCs/>
          <w:lang w:val="pt-PT"/>
        </w:rPr>
        <w:t>“(</w:t>
      </w:r>
      <w:proofErr w:type="gramEnd"/>
      <w:r>
        <w:rPr>
          <w:rFonts w:asciiTheme="majorHAnsi" w:hAnsiTheme="majorHAnsi" w:cstheme="majorHAnsi"/>
          <w:i/>
          <w:iCs/>
          <w:lang w:val="pt-PT"/>
        </w:rPr>
        <w:t xml:space="preserve">…) </w:t>
      </w:r>
      <w:r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2 - </w:t>
      </w:r>
      <w:r>
        <w:rPr>
          <w:rFonts w:asciiTheme="majorHAnsi" w:hAnsiTheme="majorHAnsi" w:cstheme="majorHAnsi"/>
          <w:i/>
          <w:iCs/>
          <w:u w:val="single"/>
          <w:shd w:val="clear" w:color="auto" w:fill="FFFFFF"/>
          <w:lang w:val="pt-PT"/>
        </w:rPr>
        <w:t>O trabalhador em mobilidade intercarreiras ou categorias nunca pode auferir uma remuneração inferior à que corresponde à categoria de que é titular.</w:t>
      </w:r>
    </w:p>
    <w:p w14:paraId="1671DE68" w14:textId="77777777" w:rsidR="00582BD7" w:rsidRDefault="00582BD7" w:rsidP="00582BD7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</w:pPr>
      <w:r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3 - </w:t>
      </w:r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No caso referido no número anterior, quando a primeira posição remuneratória da categoria correspondente à função que o trabalhador vai exercer for superior ao nível remuneratório da primeira posição daquela de que é titular, </w:t>
      </w:r>
      <w:r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  <w:t>a remuneração do trabalhador é acrescida para o nível remuneratório superior mais próximo daquele que corresponde ao seu posicionamento na categoria de que é titular.</w:t>
      </w:r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>(..</w:t>
      </w:r>
      <w:proofErr w:type="gramEnd"/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>)”</w:t>
      </w:r>
    </w:p>
    <w:p w14:paraId="296DE9DD" w14:textId="77777777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78B191F5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Com efeito, apenas desta forma, perante o exercício de funções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 não inerentes à categoria de que o trabalhador é titular e inerentes a carreira de diferente grau de complexidade funcional, é possível assegurar no âmbito da mobilidade intercarreiras o respeito pelo</w:t>
      </w:r>
      <w:r>
        <w:rPr>
          <w:rFonts w:asciiTheme="majorHAnsi" w:eastAsia="Arial Unicode MS" w:hAnsiTheme="majorHAnsi" w:cstheme="majorHAnsi"/>
          <w:lang w:val="pt-PT"/>
        </w:rPr>
        <w:t xml:space="preserve"> Princípio consagrado no art.º 59º da CRP, que impõe para trabalho igual salário igual.</w:t>
      </w:r>
    </w:p>
    <w:p w14:paraId="662DE95D" w14:textId="77777777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lastRenderedPageBreak/>
        <w:t xml:space="preserve">Significa isto que, no âmbito de um procedimento de mobilidade intercarreiras e conforme se poderá ler no conjunto de perguntas frequentes da DGAEP, disponível no respetivo </w:t>
      </w:r>
      <w:proofErr w:type="gramStart"/>
      <w:r>
        <w:rPr>
          <w:rFonts w:asciiTheme="majorHAnsi" w:hAnsiTheme="majorHAnsi" w:cstheme="majorHAnsi"/>
          <w:lang w:val="pt-PT"/>
        </w:rPr>
        <w:t>site</w:t>
      </w:r>
      <w:proofErr w:type="gramEnd"/>
      <w:r>
        <w:rPr>
          <w:rFonts w:asciiTheme="majorHAnsi" w:hAnsiTheme="majorHAnsi" w:cstheme="majorHAnsi"/>
          <w:lang w:val="pt-PT"/>
        </w:rPr>
        <w:t>:</w:t>
      </w:r>
    </w:p>
    <w:p w14:paraId="0A5E7EE3" w14:textId="77777777" w:rsidR="00582BD7" w:rsidRDefault="00582BD7" w:rsidP="00582BD7">
      <w:pPr>
        <w:shd w:val="clear" w:color="auto" w:fill="FFFFFF"/>
        <w:spacing w:before="300" w:after="150" w:line="240" w:lineRule="atLeast"/>
        <w:ind w:left="360"/>
        <w:jc w:val="both"/>
        <w:outlineLvl w:val="2"/>
        <w:rPr>
          <w:rFonts w:eastAsia="Times New Roman"/>
          <w:b/>
          <w:bCs/>
          <w:i/>
          <w:iCs/>
          <w:lang w:val="pt-PT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val="pt-PT"/>
        </w:rPr>
        <w:t>VII - Mobilidade</w:t>
      </w:r>
    </w:p>
    <w:p w14:paraId="663685BB" w14:textId="77777777" w:rsidR="00582BD7" w:rsidRPr="00582BD7" w:rsidRDefault="00166610" w:rsidP="00582BD7">
      <w:pPr>
        <w:spacing w:after="0" w:line="360" w:lineRule="auto"/>
        <w:ind w:left="360"/>
        <w:jc w:val="both"/>
        <w:rPr>
          <w:rStyle w:val="Forte"/>
          <w:shd w:val="clear" w:color="auto" w:fill="FFFFFF"/>
          <w:lang w:val="pt-PT"/>
        </w:rPr>
      </w:pPr>
      <w:hyperlink r:id="rId5" w:tooltip="11. A mobilidade de um trabalhador em qualquer das modalidades dá lugar à remuneração correspondentes às novas funções que vai exercer?" w:history="1">
        <w:r w:rsidR="00582BD7">
          <w:rPr>
            <w:rStyle w:val="Hiperligao"/>
            <w:rFonts w:asciiTheme="majorHAnsi" w:hAnsiTheme="majorHAnsi" w:cstheme="majorHAnsi"/>
            <w:i/>
            <w:iCs/>
            <w:color w:val="auto"/>
            <w:shd w:val="clear" w:color="auto" w:fill="FFFFFF"/>
            <w:lang w:val="pt-PT"/>
          </w:rPr>
          <w:t>11. A mobilidade de um trabalhador em qualquer das modalidades dá lugar à remuneração correspondentes às novas funções que vai exercer?</w:t>
        </w:r>
      </w:hyperlink>
    </w:p>
    <w:p w14:paraId="54B54AC6" w14:textId="77777777" w:rsidR="00582BD7" w:rsidRDefault="00582BD7" w:rsidP="00582BD7">
      <w:pPr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shd w:val="clear" w:color="auto" w:fill="FFFFFF"/>
          <w:lang w:val="pt-PT"/>
        </w:rPr>
        <w:t>(…)</w:t>
      </w:r>
    </w:p>
    <w:p w14:paraId="4A0260BA" w14:textId="77777777" w:rsidR="00582BD7" w:rsidRP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color w:val="000000"/>
          <w:sz w:val="22"/>
          <w:szCs w:val="22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 xml:space="preserve">C. Mobilidade intercarreiras ou </w:t>
      </w:r>
      <w:proofErr w:type="spellStart"/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intercategorias</w:t>
      </w:r>
      <w:proofErr w:type="spellEnd"/>
    </w:p>
    <w:p w14:paraId="58458E65" w14:textId="77777777" w:rsid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nunca pode auferir remuneração inferior à que corresponde à categoria de que é titular.</w:t>
      </w:r>
    </w:p>
    <w:p w14:paraId="7F7495D3" w14:textId="77777777" w:rsid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 2 da </w:t>
      </w:r>
      <w:hyperlink r:id="rId6" w:tgtFrame="_blank" w:tooltip="LTFP" w:history="1">
        <w:r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</w:t>
      </w:r>
    </w:p>
    <w:p w14:paraId="36A4B763" w14:textId="77777777" w:rsid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C1. Se a 1.ª posição remuneratória da carreira / categoria de destino for superior à 1.ª posição remuneratória da carreira / categoria de que o trabalhador é titular</w:t>
      </w:r>
    </w:p>
    <w:p w14:paraId="681C34FE" w14:textId="77777777" w:rsid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é remunerado por referência à estrutura remuneratória da carreira / categoria cujas funções vai exercer (categoria de destino) se a 1.ª posição remuneratória desta categoria for superior à 1.ª posição remuneratória da carreira de que é titular.</w:t>
      </w:r>
    </w:p>
    <w:p w14:paraId="1D29E0EC" w14:textId="77777777" w:rsid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Verificando-se esta situação, a remuneração do trabalhador é acrescida para o nível remuneratório superior mais próximo da tabela remuneratória da carreira / categoria de destino, tendo por referência o nível remuneratório correspondente à posição remuneratória da categoria de que é titular.</w:t>
      </w:r>
    </w:p>
    <w:p w14:paraId="6AA67FBE" w14:textId="77777777" w:rsidR="00582BD7" w:rsidRDefault="00582BD7" w:rsidP="00582BD7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n.ºs 2 e 3 da </w:t>
      </w:r>
      <w:hyperlink r:id="rId7" w:tgtFrame="_blank" w:tooltip="LTFP" w:history="1">
        <w:r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proofErr w:type="gramStart"/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 </w:t>
      </w:r>
      <w:proofErr w:type="gramEnd"/>
    </w:p>
    <w:p w14:paraId="107F9D34" w14:textId="77777777" w:rsidR="00582BD7" w:rsidRDefault="00582BD7" w:rsidP="00582BD7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0ABE8D11" w14:textId="35E4BEE2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Face a todo o exposto, considerando </w:t>
      </w:r>
      <w:proofErr w:type="gramStart"/>
      <w:r>
        <w:rPr>
          <w:rFonts w:asciiTheme="majorHAnsi" w:hAnsiTheme="majorHAnsi" w:cstheme="majorHAnsi"/>
          <w:lang w:val="pt-PT"/>
        </w:rPr>
        <w:t>que</w:t>
      </w:r>
      <w:proofErr w:type="gramEnd"/>
      <w:r>
        <w:rPr>
          <w:rFonts w:asciiTheme="majorHAnsi" w:hAnsiTheme="majorHAnsi" w:cstheme="majorHAnsi"/>
          <w:lang w:val="pt-PT"/>
        </w:rPr>
        <w:t xml:space="preserve">: </w:t>
      </w:r>
      <w:r>
        <w:rPr>
          <w:rFonts w:asciiTheme="majorHAnsi" w:hAnsiTheme="majorHAnsi" w:cstheme="majorHAnsi"/>
          <w:b/>
          <w:bCs/>
          <w:lang w:val="pt-PT"/>
        </w:rPr>
        <w:t>i)</w:t>
      </w:r>
      <w:r>
        <w:rPr>
          <w:rFonts w:asciiTheme="majorHAnsi" w:hAnsiTheme="majorHAnsi" w:cstheme="majorHAnsi"/>
          <w:lang w:val="pt-PT"/>
        </w:rPr>
        <w:t xml:space="preserve"> no caso em concreto e sem prejuízo dos requisitos exigidos pelo artigo 99º-A da LTFP para efeitos de consolidação da mobilidade intercarreiras, estamos, antes de mais, perante um procedimento de mobilidade intercarreiras, especificamente previsto e regulado nos termos dos artigos 92º e seguintes da LTFP</w:t>
      </w:r>
      <w:r w:rsidR="002B6189">
        <w:rPr>
          <w:rFonts w:asciiTheme="majorHAnsi" w:hAnsiTheme="majorHAnsi" w:cstheme="majorHAnsi"/>
          <w:lang w:val="pt-PT"/>
        </w:rPr>
        <w:t>, e não de um concurso, propriamente dito</w:t>
      </w:r>
      <w:r>
        <w:rPr>
          <w:rFonts w:asciiTheme="majorHAnsi" w:hAnsiTheme="majorHAnsi" w:cstheme="majorHAnsi"/>
          <w:lang w:val="pt-PT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lang w:val="pt-PT"/>
        </w:rPr>
        <w:t>ii</w:t>
      </w:r>
      <w:proofErr w:type="spellEnd"/>
      <w:r>
        <w:rPr>
          <w:rFonts w:asciiTheme="majorHAnsi" w:hAnsiTheme="majorHAnsi" w:cstheme="majorHAnsi"/>
          <w:b/>
          <w:bCs/>
          <w:lang w:val="pt-PT"/>
        </w:rPr>
        <w:t>)</w:t>
      </w:r>
      <w:r>
        <w:rPr>
          <w:rFonts w:asciiTheme="majorHAnsi" w:hAnsiTheme="majorHAnsi" w:cstheme="majorHAnsi"/>
          <w:lang w:val="pt-PT"/>
        </w:rPr>
        <w:t xml:space="preserve"> a mobilidade operou-se para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o exercício de funções não inerentes à categoria de que o trabalhador é titular e inerentes </w:t>
      </w:r>
      <w:r>
        <w:rPr>
          <w:rFonts w:asciiTheme="majorHAnsi" w:hAnsiTheme="majorHAnsi" w:cstheme="majorHAnsi"/>
          <w:lang w:val="pt-PT"/>
        </w:rPr>
        <w:t>a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 carreira de grau de complexidade funcional superior (TSA), tendo, desde logo e nesse seguimento, existido uma </w:t>
      </w:r>
      <w:proofErr w:type="spellStart"/>
      <w:r>
        <w:rPr>
          <w:rFonts w:asciiTheme="majorHAnsi" w:hAnsiTheme="majorHAnsi" w:cstheme="majorHAnsi"/>
          <w:lang w:val="pt-PT"/>
        </w:rPr>
        <w:t>reafetação</w:t>
      </w:r>
      <w:proofErr w:type="spellEnd"/>
      <w:r>
        <w:rPr>
          <w:rFonts w:asciiTheme="majorHAnsi" w:hAnsiTheme="majorHAnsi" w:cstheme="majorHAnsi"/>
          <w:lang w:val="pt-PT"/>
        </w:rPr>
        <w:t xml:space="preserve"> de funções, para tarefas de natureza técnica, enquadradas genericamente no conteúdo funcional da carreira de TSA, carreira de destino </w:t>
      </w:r>
      <w:proofErr w:type="spellStart"/>
      <w:r>
        <w:rPr>
          <w:rFonts w:asciiTheme="majorHAnsi" w:hAnsiTheme="majorHAnsi" w:cstheme="majorHAnsi"/>
          <w:b/>
          <w:bCs/>
          <w:lang w:val="pt-PT"/>
        </w:rPr>
        <w:t>iii</w:t>
      </w:r>
      <w:proofErr w:type="spellEnd"/>
      <w:r>
        <w:rPr>
          <w:rFonts w:asciiTheme="majorHAnsi" w:hAnsiTheme="majorHAnsi" w:cstheme="majorHAnsi"/>
          <w:b/>
          <w:bCs/>
          <w:lang w:val="pt-PT"/>
        </w:rPr>
        <w:t xml:space="preserve">) </w:t>
      </w:r>
      <w:r>
        <w:rPr>
          <w:rFonts w:asciiTheme="majorHAnsi" w:hAnsiTheme="majorHAnsi" w:cstheme="majorHAnsi"/>
          <w:lang w:val="pt-PT"/>
        </w:rPr>
        <w:t xml:space="preserve">no âmbito da colocação dos trabalhadores em situação de mobilidade intercarreiras, encontram-se previstas regras especificas sobre o posicionamento remuneratório no âmbito das mobilidades intercarreiras, </w:t>
      </w:r>
      <w:r>
        <w:rPr>
          <w:rFonts w:asciiTheme="majorHAnsi" w:hAnsiTheme="majorHAnsi" w:cstheme="majorHAnsi"/>
          <w:u w:val="single"/>
          <w:lang w:val="pt-PT"/>
        </w:rPr>
        <w:t xml:space="preserve">entende o(a) ora Requerente que, no âmbito e no momento da colocação em mobilidade intercarreiras para TSA, deveria ter sido posicionado </w:t>
      </w:r>
      <w:r>
        <w:rPr>
          <w:rFonts w:asciiTheme="majorHAnsi" w:eastAsia="Times New Roman" w:hAnsiTheme="majorHAnsi" w:cstheme="majorHAnsi"/>
          <w:color w:val="000000"/>
          <w:u w:val="single"/>
          <w:lang w:val="pt-PT"/>
        </w:rPr>
        <w:t>de acordo com o disposto nos n.ºs 2 e 3 do artigo 153º da LTFP.</w:t>
      </w:r>
    </w:p>
    <w:p w14:paraId="0166AB60" w14:textId="7906F17E" w:rsidR="00582BD7" w:rsidRDefault="00582BD7" w:rsidP="00E556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lastRenderedPageBreak/>
        <w:t>Nestes termos, sendo a 1</w:t>
      </w:r>
      <w:r>
        <w:rPr>
          <w:rFonts w:asciiTheme="majorHAnsi" w:eastAsia="Times New Roman" w:hAnsiTheme="majorHAnsi" w:cstheme="majorHAnsi"/>
          <w:color w:val="000000"/>
          <w:lang w:val="pt-PT"/>
        </w:rPr>
        <w:t>.ª posição remunerató</w:t>
      </w:r>
      <w:r w:rsidR="00716B0D">
        <w:rPr>
          <w:rFonts w:asciiTheme="majorHAnsi" w:eastAsia="Times New Roman" w:hAnsiTheme="majorHAnsi" w:cstheme="majorHAnsi"/>
          <w:color w:val="000000"/>
          <w:lang w:val="pt-PT"/>
        </w:rPr>
        <w:t>ria da carreira/categoria de TSA</w:t>
      </w:r>
      <w:r>
        <w:rPr>
          <w:rFonts w:asciiTheme="majorHAnsi" w:eastAsia="Times New Roman" w:hAnsiTheme="majorHAnsi" w:cstheme="majorHAnsi"/>
          <w:color w:val="000000"/>
          <w:lang w:val="pt-PT"/>
        </w:rPr>
        <w:t xml:space="preserve"> superior à 1.ª posição remuneratória da carreira de que o trabalhador é titular (_______),</w:t>
      </w:r>
      <w:r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b/>
          <w:bCs/>
          <w:lang w:val="pt-PT"/>
        </w:rPr>
        <w:t xml:space="preserve">vem, o(a) ora Requerente solicitar a V. </w:t>
      </w:r>
      <w:proofErr w:type="gramStart"/>
      <w:r>
        <w:rPr>
          <w:rFonts w:asciiTheme="majorHAnsi" w:hAnsiTheme="majorHAnsi" w:cstheme="majorHAnsi"/>
          <w:b/>
          <w:bCs/>
          <w:lang w:val="pt-PT"/>
        </w:rPr>
        <w:t>Exa.</w:t>
      </w:r>
      <w:proofErr w:type="gramEnd"/>
      <w:r>
        <w:rPr>
          <w:rFonts w:asciiTheme="majorHAnsi" w:hAnsiTheme="majorHAnsi" w:cstheme="majorHAnsi"/>
          <w:b/>
          <w:bCs/>
          <w:lang w:val="pt-PT"/>
        </w:rPr>
        <w:t xml:space="preserve"> a alteração do seu posicionamento remuneratório para </w:t>
      </w:r>
      <w:r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o índice remuneratório superior mais próximo da tabela remuneratória da carreira de destino, ou seja, da carreira de TSA, tendo por referência a sua posição remuneratória na sua categoria de origem, </w:t>
      </w:r>
      <w:r>
        <w:rPr>
          <w:rFonts w:asciiTheme="majorHAnsi" w:hAnsiTheme="majorHAnsi" w:cstheme="majorHAnsi"/>
          <w:b/>
          <w:bCs/>
          <w:lang w:val="pt-PT"/>
        </w:rPr>
        <w:t xml:space="preserve">com efeitos retroativos à data da colocação em mobilidade, ou seja, a </w:t>
      </w:r>
      <w:r w:rsidR="00C10F35">
        <w:rPr>
          <w:rFonts w:asciiTheme="majorHAnsi" w:hAnsiTheme="majorHAnsi" w:cstheme="majorHAnsi"/>
          <w:b/>
          <w:bCs/>
          <w:lang w:val="pt-PT"/>
        </w:rPr>
        <w:t>23</w:t>
      </w:r>
      <w:r>
        <w:rPr>
          <w:rFonts w:asciiTheme="majorHAnsi" w:hAnsiTheme="majorHAnsi" w:cstheme="majorHAnsi"/>
          <w:b/>
          <w:bCs/>
          <w:lang w:val="pt-PT"/>
        </w:rPr>
        <w:t>.</w:t>
      </w:r>
      <w:r w:rsidR="00C10F35">
        <w:rPr>
          <w:rFonts w:asciiTheme="majorHAnsi" w:hAnsiTheme="majorHAnsi" w:cstheme="majorHAnsi"/>
          <w:b/>
          <w:bCs/>
          <w:lang w:val="pt-PT"/>
        </w:rPr>
        <w:t>12</w:t>
      </w:r>
      <w:r>
        <w:rPr>
          <w:rFonts w:asciiTheme="majorHAnsi" w:hAnsiTheme="majorHAnsi" w:cstheme="majorHAnsi"/>
          <w:b/>
          <w:bCs/>
          <w:lang w:val="pt-PT"/>
        </w:rPr>
        <w:t xml:space="preserve">.2019, tudo nos termos dos n.ºs 2 e 3 do artigo 153º da LTFP e atento o </w:t>
      </w:r>
      <w:r>
        <w:rPr>
          <w:rFonts w:asciiTheme="majorHAnsi" w:eastAsia="Arial Unicode MS" w:hAnsiTheme="majorHAnsi" w:cstheme="majorHAnsi"/>
          <w:b/>
          <w:bCs/>
          <w:lang w:val="pt-PT"/>
        </w:rPr>
        <w:t>Princípio consagrado no art.º 59º da CRP, que impõe para trabalho igual salário igual</w:t>
      </w:r>
      <w:r>
        <w:rPr>
          <w:rFonts w:asciiTheme="majorHAnsi" w:hAnsiTheme="majorHAnsi" w:cstheme="majorHAnsi"/>
          <w:b/>
          <w:bCs/>
          <w:lang w:val="pt-PT"/>
        </w:rPr>
        <w:t>, como é de toda a justiça e resulta da melhor interpretação da lei e conformidade da mesma à Constituição da República.</w:t>
      </w:r>
    </w:p>
    <w:p w14:paraId="5AC91FD8" w14:textId="77777777" w:rsidR="00582BD7" w:rsidRDefault="00582BD7" w:rsidP="00582BD7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70D7947B" w14:textId="77777777" w:rsidR="00582BD7" w:rsidRDefault="00582BD7" w:rsidP="00582BD7">
      <w:pPr>
        <w:pStyle w:val="PargrafodaLista"/>
        <w:spacing w:after="0" w:line="360" w:lineRule="auto"/>
        <w:ind w:left="1080"/>
        <w:jc w:val="both"/>
        <w:rPr>
          <w:rFonts w:asciiTheme="majorHAnsi" w:eastAsia="Times New Roman" w:hAnsiTheme="majorHAnsi" w:cstheme="majorHAnsi"/>
          <w:color w:val="000000"/>
          <w:lang w:val="pt-PT"/>
        </w:rPr>
      </w:pPr>
    </w:p>
    <w:p w14:paraId="19683762" w14:textId="77777777" w:rsidR="00582BD7" w:rsidRDefault="00582BD7" w:rsidP="00582BD7">
      <w:pPr>
        <w:jc w:val="center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Pede Respeitosamente Deferimento</w:t>
      </w:r>
    </w:p>
    <w:p w14:paraId="4E217874" w14:textId="77777777" w:rsidR="00582BD7" w:rsidRDefault="00582BD7" w:rsidP="00582BD7">
      <w:pPr>
        <w:jc w:val="center"/>
        <w:rPr>
          <w:rFonts w:asciiTheme="majorHAnsi" w:hAnsiTheme="majorHAnsi" w:cstheme="majorHAnsi"/>
          <w:lang w:val="pt-PT"/>
        </w:rPr>
      </w:pPr>
      <w:proofErr w:type="gramStart"/>
      <w:r>
        <w:rPr>
          <w:rFonts w:asciiTheme="majorHAnsi" w:hAnsiTheme="majorHAnsi" w:cstheme="majorHAnsi"/>
          <w:lang w:val="pt-PT"/>
        </w:rPr>
        <w:t>O(A</w:t>
      </w:r>
      <w:proofErr w:type="gramEnd"/>
      <w:r>
        <w:rPr>
          <w:rFonts w:asciiTheme="majorHAnsi" w:hAnsiTheme="majorHAnsi" w:cstheme="majorHAnsi"/>
          <w:lang w:val="pt-PT"/>
        </w:rPr>
        <w:t>) Requerente,</w:t>
      </w:r>
    </w:p>
    <w:p w14:paraId="7516C969" w14:textId="77777777" w:rsidR="00582BD7" w:rsidRDefault="00582BD7" w:rsidP="00582BD7">
      <w:pPr>
        <w:jc w:val="center"/>
        <w:rPr>
          <w:rFonts w:asciiTheme="majorHAnsi" w:hAnsiTheme="majorHAnsi" w:cstheme="majorHAnsi"/>
          <w:lang w:val="pt-PT"/>
        </w:rPr>
      </w:pPr>
    </w:p>
    <w:p w14:paraId="0639C818" w14:textId="77777777" w:rsidR="00582BD7" w:rsidRDefault="00582BD7" w:rsidP="00582BD7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</w:t>
      </w:r>
    </w:p>
    <w:p w14:paraId="71BDF970" w14:textId="77777777" w:rsidR="00582BD7" w:rsidRDefault="00582BD7" w:rsidP="00582BD7">
      <w:pPr>
        <w:rPr>
          <w:rFonts w:asciiTheme="majorHAnsi" w:hAnsiTheme="majorHAnsi" w:cstheme="majorHAnsi"/>
        </w:rPr>
      </w:pPr>
    </w:p>
    <w:p w14:paraId="20172AC9" w14:textId="77777777" w:rsidR="00582BD7" w:rsidRDefault="00582BD7" w:rsidP="00582BD7">
      <w:pPr>
        <w:rPr>
          <w:rFonts w:asciiTheme="majorHAnsi" w:hAnsiTheme="majorHAnsi" w:cstheme="majorHAnsi"/>
        </w:rPr>
      </w:pPr>
    </w:p>
    <w:p w14:paraId="33D1267B" w14:textId="77777777" w:rsidR="00582BD7" w:rsidRDefault="00582BD7" w:rsidP="00582BD7">
      <w:pPr>
        <w:rPr>
          <w:rFonts w:asciiTheme="majorHAnsi" w:hAnsiTheme="majorHAnsi" w:cstheme="majorHAnsi"/>
        </w:rPr>
      </w:pPr>
    </w:p>
    <w:p w14:paraId="79BDFEC4" w14:textId="77777777" w:rsidR="00582BD7" w:rsidRDefault="00582BD7" w:rsidP="00582BD7">
      <w:pPr>
        <w:rPr>
          <w:rFonts w:asciiTheme="majorHAnsi" w:hAnsiTheme="majorHAnsi" w:cstheme="majorHAnsi"/>
        </w:rPr>
      </w:pPr>
    </w:p>
    <w:p w14:paraId="08E3AD5A" w14:textId="77777777" w:rsidR="00582BD7" w:rsidRDefault="00582BD7" w:rsidP="00582BD7"/>
    <w:p w14:paraId="1B9E9BCA" w14:textId="77777777" w:rsidR="003E3E1F" w:rsidRDefault="003E3E1F"/>
    <w:sectPr w:rsidR="003E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A59DE"/>
    <w:multiLevelType w:val="hybridMultilevel"/>
    <w:tmpl w:val="6E401054"/>
    <w:lvl w:ilvl="0" w:tplc="C5946FB4">
      <w:start w:val="1"/>
      <w:numFmt w:val="decimal"/>
      <w:lvlText w:val="%1 - 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D3A11"/>
    <w:multiLevelType w:val="hybridMultilevel"/>
    <w:tmpl w:val="0448B9D8"/>
    <w:lvl w:ilvl="0" w:tplc="C5946FB4">
      <w:start w:val="1"/>
      <w:numFmt w:val="decimal"/>
      <w:lvlText w:val="%1 - 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D7"/>
    <w:rsid w:val="001566A6"/>
    <w:rsid w:val="00166610"/>
    <w:rsid w:val="002B6189"/>
    <w:rsid w:val="003E3E1F"/>
    <w:rsid w:val="00412151"/>
    <w:rsid w:val="00480E4D"/>
    <w:rsid w:val="00582BD7"/>
    <w:rsid w:val="006002A1"/>
    <w:rsid w:val="006012BC"/>
    <w:rsid w:val="00716B0D"/>
    <w:rsid w:val="009B1518"/>
    <w:rsid w:val="00C10F35"/>
    <w:rsid w:val="00E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0840A"/>
  <w15:chartTrackingRefBased/>
  <w15:docId w15:val="{294CE3CC-4A80-4809-8125-09B8EC4C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D7"/>
    <w:pPr>
      <w:spacing w:line="254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82B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82BD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582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.dre.pt/eli/lei/35/2014/p/cons/20161228/pt/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dre.pt/eli/lei/35/2014/p/cons/20161228/pt/html" TargetMode="External"/><Relationship Id="rId5" Type="http://schemas.openxmlformats.org/officeDocument/2006/relationships/hyperlink" Target="https://www.dgaep.gov.pt/index.cfm?OBJID=b8a129f3-8eb7-4b56-932f-f084b9abab44&amp;ID=45000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1616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Beites</dc:creator>
  <cp:keywords/>
  <dc:description/>
  <cp:lastModifiedBy>Shital Kanji</cp:lastModifiedBy>
  <cp:revision>16</cp:revision>
  <dcterms:created xsi:type="dcterms:W3CDTF">2020-06-29T10:27:00Z</dcterms:created>
  <dcterms:modified xsi:type="dcterms:W3CDTF">2020-06-30T16:28:00Z</dcterms:modified>
</cp:coreProperties>
</file>